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24" w:rsidRDefault="00125624"/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825D3C" w:rsidRPr="00825D3C" w:rsidTr="00125624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noProof/>
                <w:lang w:eastAsia="id-ID"/>
              </w:rPr>
              <w:drawing>
                <wp:inline distT="0" distB="0" distL="0" distR="0" wp14:anchorId="7F83DC0B" wp14:editId="009D8850">
                  <wp:extent cx="758825" cy="758825"/>
                  <wp:effectExtent l="0" t="0" r="0" b="0"/>
                  <wp:docPr id="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36"/>
                <w:szCs w:val="36"/>
              </w:rPr>
            </w:pPr>
            <w:r w:rsidRPr="00825D3C">
              <w:rPr>
                <w:rFonts w:ascii="Cambria" w:eastAsia="Cambria" w:hAnsi="Cambria" w:cs="Cambria"/>
                <w:b/>
                <w:noProof/>
                <w:sz w:val="36"/>
                <w:szCs w:val="36"/>
              </w:rPr>
              <w:t>UNIVERSITAS SUMATERA UTARA (USU)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32"/>
                <w:szCs w:val="32"/>
              </w:rPr>
            </w:pPr>
            <w:r w:rsidRPr="00825D3C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FAKULTAS TEKNIK</w:t>
            </w:r>
          </w:p>
          <w:p w:rsidR="00825D3C" w:rsidRPr="00825D3C" w:rsidRDefault="00825D3C" w:rsidP="00825D3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825D3C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DEPARTEMEN 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825D3C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Kode Dokumen</w:t>
            </w:r>
          </w:p>
        </w:tc>
      </w:tr>
      <w:tr w:rsidR="00825D3C" w:rsidRPr="00825D3C" w:rsidTr="00125624">
        <w:tc>
          <w:tcPr>
            <w:tcW w:w="14658" w:type="dxa"/>
            <w:gridSpan w:val="10"/>
            <w:shd w:val="clear" w:color="auto" w:fill="DEEAF6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</w:pPr>
            <w:r w:rsidRPr="00825D3C">
              <w:rPr>
                <w:rFonts w:ascii="Cambria" w:eastAsia="Cambria" w:hAnsi="Cambria" w:cs="Cambria"/>
                <w:b/>
                <w:noProof/>
                <w:sz w:val="28"/>
                <w:szCs w:val="28"/>
              </w:rPr>
              <w:t>RENCANA PEMBELAJARAN SEMESTER</w:t>
            </w:r>
          </w:p>
        </w:tc>
      </w:tr>
      <w:tr w:rsidR="00825D3C" w:rsidRPr="00825D3C" w:rsidTr="00125624">
        <w:tc>
          <w:tcPr>
            <w:tcW w:w="3399" w:type="dxa"/>
            <w:gridSpan w:val="3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Tgl Penyusunan</w:t>
            </w:r>
          </w:p>
        </w:tc>
      </w:tr>
      <w:tr w:rsidR="00825D3C" w:rsidRPr="00825D3C" w:rsidTr="00125624">
        <w:tc>
          <w:tcPr>
            <w:tcW w:w="3399" w:type="dxa"/>
            <w:gridSpan w:val="3"/>
            <w:shd w:val="clear" w:color="auto" w:fill="auto"/>
          </w:tcPr>
          <w:p w:rsidR="00825D3C" w:rsidRPr="00825D3C" w:rsidRDefault="00825D3C" w:rsidP="00825D3C">
            <w:pPr>
              <w:keepNext/>
              <w:keepLines/>
              <w:spacing w:before="480" w:after="120"/>
              <w:outlineLvl w:val="0"/>
              <w:rPr>
                <w:noProof/>
                <w:sz w:val="48"/>
                <w:szCs w:val="48"/>
              </w:rPr>
            </w:pPr>
            <w:bookmarkStart w:id="0" w:name="_Toc113445190"/>
            <w:r w:rsidRPr="00825D3C">
              <w:rPr>
                <w:b/>
                <w:noProof/>
                <w:sz w:val="28"/>
                <w:szCs w:val="28"/>
              </w:rPr>
              <w:t>Kesesuaian Medan Elektromagnetik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Cs/>
                <w:noProof/>
              </w:rPr>
            </w:pPr>
            <w:r w:rsidRPr="00825D3C">
              <w:rPr>
                <w:iCs/>
                <w:noProof/>
              </w:rPr>
              <w:t>TEE3106</w:t>
            </w:r>
          </w:p>
        </w:tc>
        <w:tc>
          <w:tcPr>
            <w:tcW w:w="2431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</w:rPr>
            </w:pPr>
          </w:p>
        </w:tc>
        <w:tc>
          <w:tcPr>
            <w:tcW w:w="147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  <w:color w:val="0000FF"/>
              </w:rPr>
            </w:pPr>
            <w:r w:rsidRPr="00825D3C">
              <w:rPr>
                <w:b/>
                <w:noProof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i/>
                <w:noProof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noProof/>
              </w:rPr>
              <w:t>7 AGUSTUS 2022</w:t>
            </w:r>
          </w:p>
        </w:tc>
      </w:tr>
      <w:tr w:rsidR="00825D3C" w:rsidRPr="00825D3C" w:rsidTr="00125624">
        <w:tc>
          <w:tcPr>
            <w:tcW w:w="3399" w:type="dxa"/>
            <w:gridSpan w:val="3"/>
            <w:vMerge w:val="restart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Ka Prodi</w:t>
            </w:r>
          </w:p>
        </w:tc>
      </w:tr>
      <w:tr w:rsidR="00825D3C" w:rsidRPr="00825D3C" w:rsidTr="00125624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D3C" w:rsidRPr="00825D3C" w:rsidRDefault="00C501EC" w:rsidP="00C501E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Ir. Hendra Zulkarnai</w:t>
            </w:r>
            <w:r w:rsidRPr="002D0F48">
              <w:rPr>
                <w:noProof/>
              </w:rPr>
              <w:t>n,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25D3C" w:rsidRPr="00825D3C" w:rsidRDefault="00C501EC" w:rsidP="00825D3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Ir. Hendra Zulkarnai</w:t>
            </w:r>
            <w:r w:rsidRPr="002D0F48">
              <w:rPr>
                <w:noProof/>
              </w:rPr>
              <w:t>n, MT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noProof/>
              </w:rPr>
            </w:pPr>
          </w:p>
          <w:p w:rsidR="00825D3C" w:rsidRPr="00825D3C" w:rsidRDefault="00825D3C" w:rsidP="0082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</w:rPr>
              <w:t>Suherman, ST., M.Comp., Ph.D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noProof/>
              </w:rPr>
            </w:pP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vMerge w:val="restart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825D3C" w:rsidRPr="00825D3C" w:rsidRDefault="00825D3C" w:rsidP="00825D3C">
            <w:pPr>
              <w:tabs>
                <w:tab w:val="left" w:pos="1806"/>
              </w:tabs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tabs>
                <w:tab w:val="left" w:pos="1806"/>
              </w:tabs>
              <w:spacing w:after="0" w:line="240" w:lineRule="auto"/>
              <w:rPr>
                <w:b/>
                <w:noProof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tabs>
                <w:tab w:val="left" w:pos="0"/>
              </w:tabs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</w:t>
            </w:r>
            <w:r w:rsidRPr="00825D3C">
              <w:rPr>
                <w:bCs/>
                <w:noProof/>
                <w:color w:val="FF0000"/>
              </w:rPr>
              <w:t xml:space="preserve"> </w:t>
            </w:r>
            <w:r w:rsidRPr="00825D3C">
              <w:rPr>
                <w:bCs/>
                <w:noProof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25D3C">
              <w:rPr>
                <w:bCs/>
                <w:noProof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25D3C">
              <w:rPr>
                <w:bCs/>
                <w:noProof/>
                <w:color w:val="231F20"/>
              </w:rPr>
              <w:t>Mampu berkomunikasi secara efektif, baik lisan maupun tulisan.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25D3C">
              <w:rPr>
                <w:bCs/>
                <w:noProof/>
                <w:color w:val="231F20"/>
              </w:rPr>
              <w:t>Mampu mengevaluasi tugas-tugas dalam batasan yang ada secara disiplin dan menyeluruh.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 untuk bekerja dalam tim lintas disiplin dan multikultural serta global internasional.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i/>
                <w:noProof/>
                <w:color w:val="0000FF"/>
              </w:rPr>
            </w:pPr>
            <w:r w:rsidRPr="00825D3C">
              <w:rPr>
                <w:bCs/>
                <w:noProof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highlight w:val="white"/>
              </w:rPr>
            </w:pPr>
            <w:r w:rsidRPr="00825D3C">
              <w:rPr>
                <w:bCs/>
                <w:noProof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Cs/>
                <w:noProof/>
                <w:color w:val="231F20"/>
              </w:rPr>
              <w:t>CPL-12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highlight w:val="white"/>
              </w:rPr>
            </w:pPr>
            <w:r w:rsidRPr="00825D3C">
              <w:rPr>
                <w:bCs/>
                <w:noProof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825D3C" w:rsidRPr="00825D3C" w:rsidTr="00125624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noProof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  <w:color w:val="0000FF"/>
              </w:rPr>
            </w:pPr>
            <w:r w:rsidRPr="00825D3C">
              <w:rPr>
                <w:b/>
                <w:noProof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ind w:left="-10"/>
              <w:rPr>
                <w:noProof/>
              </w:rPr>
            </w:pPr>
            <w:r w:rsidRPr="00825D3C">
              <w:rPr>
                <w:noProof/>
              </w:rPr>
              <w:t>CPMK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rPr>
                <w:noProof/>
              </w:rPr>
            </w:pPr>
            <w:r w:rsidRPr="00825D3C">
              <w:rPr>
                <w:noProof/>
              </w:rPr>
              <w:t>Memahami fenomena interferensi medan elektromagnetik dan lingkungan medan elektromagnetik pada peralatan listrik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ind w:left="-10"/>
              <w:rPr>
                <w:noProof/>
              </w:rPr>
            </w:pPr>
            <w:r w:rsidRPr="00825D3C">
              <w:rPr>
                <w:noProof/>
              </w:rPr>
              <w:t>CPMK 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rPr>
                <w:noProof/>
              </w:rPr>
            </w:pPr>
            <w:r w:rsidRPr="00825D3C">
              <w:rPr>
                <w:noProof/>
              </w:rPr>
              <w:t>Memahami sumber-sumber medan elektromagnetik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ind w:left="-10"/>
              <w:rPr>
                <w:noProof/>
              </w:rPr>
            </w:pPr>
            <w:r w:rsidRPr="00825D3C">
              <w:rPr>
                <w:noProof/>
              </w:rPr>
              <w:t>CPMK 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rPr>
                <w:noProof/>
              </w:rPr>
            </w:pPr>
            <w:r w:rsidRPr="00825D3C">
              <w:rPr>
                <w:noProof/>
              </w:rPr>
              <w:t>Memahami mekanisme terjadinya kopling medan elektromagnetik</w:t>
            </w: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ind w:left="-10"/>
              <w:rPr>
                <w:noProof/>
              </w:rPr>
            </w:pPr>
            <w:r w:rsidRPr="00825D3C">
              <w:rPr>
                <w:noProof/>
              </w:rPr>
              <w:t>CPMK 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56" w:lineRule="auto"/>
              <w:rPr>
                <w:noProof/>
              </w:rPr>
            </w:pPr>
            <w:r w:rsidRPr="00825D3C">
              <w:rPr>
                <w:noProof/>
              </w:rPr>
              <w:t>Memahami prinsip-prinsip mitigasi interferensi medan elektromagnetik agar peralatan dan sistem kelistrikan memiliki kesesuaian medan elektromagnetik (EMC).</w:t>
            </w:r>
          </w:p>
        </w:tc>
      </w:tr>
      <w:tr w:rsidR="00825D3C" w:rsidRPr="00825D3C" w:rsidTr="00125624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825D3C" w:rsidRPr="00125624" w:rsidRDefault="00825D3C" w:rsidP="00825D3C">
            <w:pPr>
              <w:spacing w:after="0" w:line="240" w:lineRule="auto"/>
              <w:rPr>
                <w:noProof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125624" w:rsidRPr="00125624" w:rsidTr="00125624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825D3C" w:rsidRPr="00125624" w:rsidRDefault="00825D3C" w:rsidP="00825D3C">
                  <w:pPr>
                    <w:rPr>
                      <w:noProof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01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02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03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04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05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06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07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08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09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10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11</w:t>
                  </w:r>
                </w:p>
              </w:tc>
              <w:tc>
                <w:tcPr>
                  <w:tcW w:w="925" w:type="dxa"/>
                  <w:vAlign w:val="center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</w:rPr>
                  </w:pPr>
                  <w:r w:rsidRPr="00125624">
                    <w:rPr>
                      <w:b/>
                      <w:noProof/>
                    </w:rPr>
                    <w:t>CPL 12</w:t>
                  </w:r>
                </w:p>
              </w:tc>
            </w:tr>
            <w:tr w:rsidR="00125624" w:rsidRPr="00125624" w:rsidTr="00125624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825D3C" w:rsidRPr="00125624" w:rsidRDefault="00825D3C" w:rsidP="00825D3C">
                  <w:pPr>
                    <w:rPr>
                      <w:noProof/>
                    </w:rPr>
                  </w:pPr>
                  <w:r w:rsidRPr="00125624">
                    <w:rPr>
                      <w:noProof/>
                    </w:rP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25624" w:rsidRPr="00125624" w:rsidTr="00125624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825D3C" w:rsidRPr="00125624" w:rsidRDefault="00825D3C" w:rsidP="00825D3C">
                  <w:pPr>
                    <w:rPr>
                      <w:noProof/>
                    </w:rPr>
                  </w:pPr>
                  <w:r w:rsidRPr="00125624">
                    <w:rPr>
                      <w:noProof/>
                    </w:rP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25624" w:rsidRPr="00125624" w:rsidTr="00125624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825D3C" w:rsidRPr="00125624" w:rsidRDefault="00825D3C" w:rsidP="00825D3C">
                  <w:pPr>
                    <w:rPr>
                      <w:noProof/>
                    </w:rPr>
                  </w:pPr>
                  <w:r w:rsidRPr="00125624">
                    <w:rPr>
                      <w:noProof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125624" w:rsidRPr="00125624" w:rsidTr="00125624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825D3C" w:rsidRPr="00125624" w:rsidRDefault="00825D3C" w:rsidP="00825D3C">
                  <w:pPr>
                    <w:rPr>
                      <w:noProof/>
                    </w:rPr>
                  </w:pPr>
                  <w:r w:rsidRPr="00125624">
                    <w:rPr>
                      <w:noProof/>
                    </w:rPr>
                    <w:t>CPMK 4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125624" w:rsidP="00825D3C">
                  <w:pPr>
                    <w:jc w:val="center"/>
                    <w:rPr>
                      <w:b/>
                      <w:noProof/>
                      <w:lang w:val="id-ID"/>
                    </w:rPr>
                  </w:pPr>
                  <w:r w:rsidRPr="00125624">
                    <w:rPr>
                      <w:b/>
                      <w:noProof/>
                      <w:lang w:val="id-ID"/>
                    </w:rPr>
                    <w:t>V</w:t>
                  </w: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25" w:type="dxa"/>
                </w:tcPr>
                <w:p w:rsidR="00825D3C" w:rsidRPr="00125624" w:rsidRDefault="00825D3C" w:rsidP="00825D3C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825D3C" w:rsidRPr="00125624" w:rsidRDefault="00825D3C" w:rsidP="00825D3C">
            <w:pPr>
              <w:spacing w:after="0" w:line="240" w:lineRule="auto"/>
              <w:rPr>
                <w:noProof/>
              </w:rPr>
            </w:pPr>
          </w:p>
        </w:tc>
      </w:tr>
      <w:tr w:rsidR="00825D3C" w:rsidRPr="00825D3C" w:rsidTr="00125624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noProof/>
              </w:rPr>
              <w:t>Mata kuliah Kesesuaian Medan Elektromagnetik membahas tentang interferensi medan elektromagnetik, lingkungan medan elektromagnetik, sumber medan elektromagnetik, kopling medan elektromagnetik dan mitigasi interferensi medan elektromagnetik (EMC)</w:t>
            </w:r>
          </w:p>
        </w:tc>
      </w:tr>
      <w:tr w:rsidR="00825D3C" w:rsidRPr="00825D3C" w:rsidTr="00125624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 xml:space="preserve">Bahan Kajian: </w:t>
            </w:r>
            <w:r w:rsidRPr="00825D3C">
              <w:rPr>
                <w:noProof/>
              </w:rP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825D3C" w:rsidRPr="00825D3C" w:rsidRDefault="00825D3C" w:rsidP="005351EB">
            <w:pPr>
              <w:jc w:val="both"/>
              <w:rPr>
                <w:noProof/>
              </w:rPr>
            </w:pPr>
            <w:r w:rsidRPr="00825D3C">
              <w:rPr>
                <w:noProof/>
              </w:rPr>
              <w:t>Pendahuluan, Pengertian Emi dan Emc, Beberapa Definisi, Akibat Emi, Masalah Emc, Faktor Yang Mempengaruhi Emc, Strategi Mitigasi Emi Agar Emc;  Sumb</w:t>
            </w:r>
            <w:r w:rsidR="00BC72E5">
              <w:rPr>
                <w:noProof/>
              </w:rPr>
              <w:t>er Interferensi Elektromagnetik,</w:t>
            </w:r>
            <w:r w:rsidRPr="00825D3C">
              <w:rPr>
                <w:noProof/>
              </w:rPr>
              <w:t xml:space="preserve"> Gambaran Umum Emi, Petir/Kilat/Elektrostatik, Switching Transient, Power Line dan Data Line, Gelombang</w:t>
            </w:r>
            <w:r w:rsidR="00BC72E5">
              <w:rPr>
                <w:noProof/>
              </w:rPr>
              <w:t xml:space="preserve"> Radio, </w:t>
            </w:r>
            <w:r w:rsidRPr="00825D3C">
              <w:rPr>
                <w:noProof/>
              </w:rPr>
              <w:t>Blok Diagram Emc Problem, Cara Agar Emc, Black Box Emc, Approach/Pendekatan Emc, Karakteristik Gangguan, Flow Diagram Rancanga</w:t>
            </w:r>
            <w:r w:rsidR="00BC72E5">
              <w:rPr>
                <w:noProof/>
              </w:rPr>
              <w:t xml:space="preserve">n Emc, </w:t>
            </w:r>
            <w:r w:rsidRPr="00825D3C">
              <w:rPr>
                <w:noProof/>
              </w:rPr>
              <w:t>Pengertian Kopling Elektromagnetik, Common And Differential Mode Field-To-Wire Coupling,</w:t>
            </w:r>
            <w:r w:rsidR="00BC72E5">
              <w:rPr>
                <w:noProof/>
              </w:rPr>
              <w:t xml:space="preserve"> Common Impedance Coupling, </w:t>
            </w:r>
            <w:r w:rsidRPr="00825D3C">
              <w:rPr>
                <w:noProof/>
              </w:rPr>
              <w:t>Differential Mode Wire-To-Wire Coupling Or Crosstalk, Beberapa Definisi Kopling</w:t>
            </w:r>
            <w:r w:rsidR="00BC72E5">
              <w:rPr>
                <w:noProof/>
              </w:rPr>
              <w:t xml:space="preserve"> Lain, Reduksi Kopling, </w:t>
            </w:r>
            <w:r w:rsidRPr="00825D3C">
              <w:rPr>
                <w:noProof/>
              </w:rPr>
              <w:t>Kegunaan Shielding, Enclosure Shielding, Keefektifan Shielding, Persamaan Keefektifa</w:t>
            </w:r>
            <w:r w:rsidR="00BC72E5">
              <w:rPr>
                <w:noProof/>
              </w:rPr>
              <w:t xml:space="preserve">n Shielding, </w:t>
            </w:r>
            <w:r w:rsidRPr="00825D3C">
              <w:rPr>
                <w:noProof/>
              </w:rPr>
              <w:t>Hal-Hal Praktis Yang Perlu Dipertimbangkan, Cable Shields, Lobang Atau Bukaan Pada Dinding Shielding, Pengaruh Bukaan, Enclosure S</w:t>
            </w:r>
            <w:r w:rsidR="00BC72E5">
              <w:rPr>
                <w:noProof/>
              </w:rPr>
              <w:t xml:space="preserve">eams/Gaskets, </w:t>
            </w:r>
            <w:r w:rsidRPr="00825D3C">
              <w:rPr>
                <w:noProof/>
              </w:rPr>
              <w:t xml:space="preserve"> Shielded Wire, Efek Shielding Yang Ditanahkan, Pengaruh Pigtails, Efek Shield Berganda, Pengaruh Twisted Wire Terhadap Kopling Cross Talk, Parame</w:t>
            </w:r>
            <w:r w:rsidR="00BC72E5">
              <w:rPr>
                <w:noProof/>
              </w:rPr>
              <w:t>ter Per Unit Panjang,</w:t>
            </w:r>
            <w:r w:rsidRPr="00825D3C">
              <w:rPr>
                <w:noProof/>
              </w:rPr>
              <w:t xml:space="preserve"> Pemerisaian Medan Elektomagnetik Frekuensi Rendah, Metode Partisi Untuk Menguangi Interferensi Medan </w:t>
            </w:r>
            <w:r w:rsidR="005351EB">
              <w:rPr>
                <w:noProof/>
              </w:rPr>
              <w:t>Elektromagnetik,</w:t>
            </w:r>
            <w:r w:rsidRPr="00825D3C">
              <w:rPr>
                <w:noProof/>
              </w:rPr>
              <w:t xml:space="preserve"> Pengertian Pentanahan, </w:t>
            </w:r>
            <w:r w:rsidRPr="00825D3C">
              <w:rPr>
                <w:noProof/>
              </w:rPr>
              <w:lastRenderedPageBreak/>
              <w:t>Equipment Grounding, System Grounding, So</w:t>
            </w:r>
            <w:r w:rsidR="005351EB">
              <w:rPr>
                <w:noProof/>
              </w:rPr>
              <w:t xml:space="preserve">lidly Grounding, </w:t>
            </w:r>
            <w:r w:rsidRPr="00825D3C">
              <w:rPr>
                <w:noProof/>
              </w:rPr>
              <w:t xml:space="preserve"> Ungrounded System, Impedance/High-Resistance Grounded Wye Power System, Pentanahan Ac Power Distributio</w:t>
            </w:r>
            <w:r w:rsidR="005351EB">
              <w:rPr>
                <w:noProof/>
              </w:rPr>
              <w:t xml:space="preserve">n dan Safety, Service Entrance, </w:t>
            </w:r>
            <w:r w:rsidRPr="00825D3C">
              <w:rPr>
                <w:noProof/>
              </w:rPr>
              <w:t>noise control, isolated grounding, facility grounding, signa</w:t>
            </w:r>
            <w:r w:rsidR="005351EB">
              <w:rPr>
                <w:noProof/>
              </w:rPr>
              <w:t>l grounding, tahanan pentanahan,</w:t>
            </w:r>
            <w:r w:rsidRPr="00825D3C">
              <w:rPr>
                <w:noProof/>
              </w:rPr>
              <w:t xml:space="preserve"> ruang anechoic, presentasi dan diskusi stud</w:t>
            </w:r>
            <w:r w:rsidR="00F849F5">
              <w:rPr>
                <w:noProof/>
              </w:rPr>
              <w:t>i kasus (kelompok).</w:t>
            </w:r>
            <w:bookmarkStart w:id="1" w:name="_GoBack"/>
            <w:bookmarkEnd w:id="1"/>
          </w:p>
        </w:tc>
      </w:tr>
      <w:tr w:rsidR="00825D3C" w:rsidRPr="00825D3C" w:rsidTr="00125624">
        <w:tc>
          <w:tcPr>
            <w:tcW w:w="1974" w:type="dxa"/>
            <w:gridSpan w:val="2"/>
            <w:vMerge w:val="restart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lastRenderedPageBreak/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ind w:left="26"/>
              <w:rPr>
                <w:b/>
                <w:noProof/>
              </w:rPr>
            </w:pPr>
            <w:r w:rsidRPr="00825D3C">
              <w:rPr>
                <w:b/>
                <w:noProof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26"/>
              <w:rPr>
                <w:b/>
                <w:noProof/>
              </w:rPr>
            </w:pPr>
          </w:p>
        </w:tc>
      </w:tr>
      <w:tr w:rsidR="00825D3C" w:rsidRPr="00825D3C" w:rsidTr="00125624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825D3C" w:rsidRDefault="00C501EC" w:rsidP="00C501EC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501EC">
              <w:rPr>
                <w:color w:val="000000"/>
              </w:rPr>
              <w:t>Henry W. Ott, “ Electromagnetic Compatibility Engineering” ,  A John Wiley and Sons Inc. Publication, NJ, 2009</w:t>
            </w:r>
          </w:p>
          <w:p w:rsidR="00C501EC" w:rsidRPr="00C501EC" w:rsidRDefault="00C501EC" w:rsidP="00C501EC">
            <w:pPr>
              <w:pStyle w:val="ListParagraph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501EC">
              <w:rPr>
                <w:color w:val="000000"/>
              </w:rPr>
              <w:t>Clayton R. Paul,  “Introduction to Electromagnetic Compability”,  A John Wiley and Sons Inc. Publication , Second Edition, NJ, 2006</w:t>
            </w:r>
          </w:p>
          <w:p w:rsidR="00C501EC" w:rsidRPr="00C501EC" w:rsidRDefault="00C501EC" w:rsidP="00C501E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b/>
                <w:noProof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vMerge/>
            <w:shd w:val="clear" w:color="auto" w:fill="auto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noProof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825D3C" w:rsidRPr="00C501EC" w:rsidRDefault="00C501EC" w:rsidP="00C501EC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iCs/>
              </w:rPr>
            </w:pPr>
            <w:r w:rsidRPr="00C501EC">
              <w:rPr>
                <w:iCs/>
              </w:rPr>
              <w:t>Christos Chritopoulos, "Principles and Techniques of Electromagnetic Compability”,  CRC Press, Second Edition, NY, 2007</w:t>
            </w:r>
          </w:p>
          <w:p w:rsidR="00825D3C" w:rsidRPr="00825D3C" w:rsidRDefault="00825D3C" w:rsidP="00825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noProof/>
                <w:color w:val="0000FF"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</w:p>
        </w:tc>
      </w:tr>
      <w:tr w:rsidR="00825D3C" w:rsidRPr="00825D3C" w:rsidTr="00125624">
        <w:tc>
          <w:tcPr>
            <w:tcW w:w="1974" w:type="dxa"/>
            <w:gridSpan w:val="2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b/>
                <w:noProof/>
              </w:rPr>
            </w:pPr>
            <w:r w:rsidRPr="00825D3C">
              <w:rPr>
                <w:b/>
                <w:noProof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</w:p>
        </w:tc>
      </w:tr>
    </w:tbl>
    <w:p w:rsidR="00825D3C" w:rsidRDefault="00825D3C"/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825D3C" w:rsidRPr="00825D3C" w:rsidTr="00125624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Bantuk Pembelajaran;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Metode Pembelajaran;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Penugasan Mahasiswa;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  <w:color w:val="3333FF"/>
              </w:rPr>
            </w:pPr>
            <w:r w:rsidRPr="00825D3C">
              <w:rPr>
                <w:b/>
                <w:noProof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Materi Pembelajaran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  <w:color w:val="0000FF"/>
              </w:rPr>
            </w:pPr>
            <w:r w:rsidRPr="00825D3C">
              <w:rPr>
                <w:b/>
                <w:noProof/>
                <w:color w:val="0000FF"/>
              </w:rPr>
              <w:t>[Pustaka]</w:t>
            </w:r>
          </w:p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Bobot Penilaian (%)</w:t>
            </w:r>
          </w:p>
        </w:tc>
      </w:tr>
      <w:tr w:rsidR="00825D3C" w:rsidRPr="00825D3C" w:rsidTr="00125624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825D3C" w:rsidRPr="00825D3C" w:rsidRDefault="00825D3C" w:rsidP="00825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noProof/>
              </w:rPr>
            </w:pPr>
          </w:p>
        </w:tc>
      </w:tr>
      <w:tr w:rsidR="00825D3C" w:rsidRPr="00825D3C" w:rsidTr="00125624">
        <w:tc>
          <w:tcPr>
            <w:tcW w:w="734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ind w:left="72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Tatap Muka</w:t>
            </w:r>
            <w:r w:rsidRPr="00825D3C">
              <w:rPr>
                <w:b/>
                <w:i/>
                <w:noProof/>
              </w:rPr>
              <w:t xml:space="preserve"> </w:t>
            </w:r>
            <w:r w:rsidRPr="00825D3C">
              <w:rPr>
                <w:b/>
                <w:noProof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ind w:left="72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(8)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C501EC" w:rsidP="00C501E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pendahuluan, pengertian emi dan emc: pendahuluan, pengertian emi dan emc, beberapa definisi, akibat emi, masalah emc, faktor yang mempengaruhi emc, strategi mitigasi emi agar emc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6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C5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Pendahuluan, Pengertian Emi dan Emc: Pendahuluan, Pengertian Emi dan Emc, Beberapa Definisi, Akibat Emi, Masalah Emc, Faktor Yang Mempengaruhi Emc, Strategi Mitigasi Emi Agar Emc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C501EC" w:rsidRDefault="00C501EC" w:rsidP="00C501EC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C501EC" w:rsidRDefault="00C501EC" w:rsidP="00C501EC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C501EC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C501E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sumber interferensi elektromagnetik: gambaran umum emi, petir/kilat/elektrostatik, switching transient, power line dan data line, gelombang radio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7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C5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Sumber Interferensi Elektromagnetik: Gambaran Umum Emi, Petir/Kilat/Elektrostatik, Switching Transient, Power Line dan Data Line, Gelombang Radio</w:t>
            </w:r>
          </w:p>
          <w:p w:rsidR="00825D3C" w:rsidRPr="00C501E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C501EC" w:rsidRPr="00825D3C" w:rsidRDefault="00C501EC" w:rsidP="00C501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C501EC" w:rsidRDefault="00C501EC" w:rsidP="00C501EC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C501EC" w:rsidRDefault="00C501EC" w:rsidP="00C501EC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C501EC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C501EC" w:rsidP="00C501EC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struktur kesesuaian medan elektromagnetik: blok diagram emc problem, cara agar emc, black box emc, approach/pendekatan emc, karakteristik gangguan, flow diagram rancangan emc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8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C5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Struktur Kesesuaian Medan Elektromagnetik: Blok Diagram Emc Problem, Cara Agar Emc, Black Box Emc, Approach/Pendekatan Emc, Karakteristik Gangguan, Flow Diagram Rancangan Emc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C501EC" w:rsidRPr="00825D3C" w:rsidRDefault="00C501EC" w:rsidP="00C501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C501EC" w:rsidRDefault="00C501EC" w:rsidP="00C501EC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C501EC" w:rsidRDefault="00C501EC" w:rsidP="00C501EC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C501EC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2244E5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kopling elektromagnetik: pengertian kopling elektromagnetik, common and differential mode field-to-wire coupling, common impedance coupling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9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Kopling Elektromagnetik: Pengertian Kopling Elektromagnetik, Common And Differential Mode Field-To-Wire Coupling, Common Impedance Coupling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2244E5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teori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kopling elektromagnetik (lanjutan): differential mode wire-to-wire coupling or crosstalk, beberapa definisi kopling lain, reduksi kopling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0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Kopling Elektromagnetik (Lanjutan): Differential Mode Wire-To-Wire Coupling Or Crosstalk, Beberapa Definisi Kopling Lain, Reduksi Kopling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perkembangan teori shielding atau perisai elektromagnetik: kegunaan shielding, enclosure shielding, keefektifan shielding, persamaan keefektifan shielding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1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Mahasiswa memahami perkembangan teori shielding atau perisai elektromagnetik: kegunaan shielding, enclosure shielding, keefektifan shielding, persamaan keefektifan shielding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2244E5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toeri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shielding atau perisai elektromagnetik (lanjutan): hal-hal praktis yang perlu dipertimbangkan, cable shields, lobang atau bukaan pada dinding shielding, pengaruh bukaan, enclosure seams/gaskets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2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Shielding Atau Perisai Elektromagnetik (Lanjutan): Hal-Hal Praktis Yang Perlu Dipertimbangkan, Cable Shields, Lobang Atau Bukaan Pada Dinding Shielding, Pengaruh Bukaan, Enclosure Seams/Gaskets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50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825D3C">
            <w:pPr>
              <w:spacing w:line="240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2244E5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shielding atau perisai elektromagnetik (lanjutan): shielded wire, efek shielding yang ditanahkan, pengaruh pigtails, efek shield berganda, pengaruh twisted wire terhadap kopling cross talk, parameter per unit panjang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3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Shielding Atau Perisai Elektromagnetik (Lanjutan): Shielded Wire, Efek Shielding Yang Ditanahkan, Pengaruh Pigtails, Efek Shield Berganda, Pengaruh Twisted Wire Terhadap Kopling Cross Talk, Parameter Per Unit Panjang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2244E5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pemerisaian medan magnet frekuensi rendah dan partisi: pemerisaian medan elektomagnetik frekuensi rendah, metode partisi untuk menguangi interferensi medan elektromagnetik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4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2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Pemerisaian Medan Magnet Frekuensi Rendah dan Partisi: Pemerisaian Medan Elektomagnetik Frekuensi Rendah, Metode Partisi Untuk Menguangi Interferensi Medan Elektromagnetik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2244E5" w:rsidRPr="00825D3C" w:rsidRDefault="002244E5" w:rsidP="002244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2244E5" w:rsidRDefault="002244E5" w:rsidP="002244E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2244E5" w:rsidRDefault="002244E5" w:rsidP="002244E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4E5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2244E5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11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01078B" w:rsidP="0001078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teori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pentanahan dan penyambungan: pengertian pentanahan, equipment grounding, system grounding, solidly grounding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5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01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Pentanahan dan Penyambungan: Pengertian Pentanahan, Equipment Grounding, System Grounding, Solidly Grounding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01078B" w:rsidRPr="00825D3C" w:rsidRDefault="0001078B" w:rsidP="00010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01078B" w:rsidRDefault="0001078B" w:rsidP="0001078B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01078B" w:rsidRDefault="0001078B" w:rsidP="0001078B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78B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01078B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12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01078B" w:rsidP="0001078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pentanahan dan penyambungan (lanjutan): ungrounded system, impedance/high-resistance grounded wye power system, pentanahan ac power distribution dan safety, service entrance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6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01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Pentanahan dan Penyambungan (Lanjutan): Ungrounded System, Impedance/High-Resistance Grounded Wye Power System, Pentanahan Ac Power Distribution dan Safety, Service Entrance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01078B" w:rsidRPr="00825D3C" w:rsidRDefault="0001078B" w:rsidP="00010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01078B" w:rsidRDefault="0001078B" w:rsidP="0001078B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825D3C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noProof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01078B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13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01078B" w:rsidP="0001078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teori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pentanahan dan penyambungan(lanjutan): noise control, isolated grounding, facility grounding, signal grounding, tahanan pentanahan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7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01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Pentanahan dan Penyambungan(Lanjutan): Noise Control, Isolated Grounding, Facility Grounding, Signal Grounding, Tahanan Pentanahan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</w:p>
          <w:p w:rsidR="0001078B" w:rsidRPr="00825D3C" w:rsidRDefault="0001078B" w:rsidP="00010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01078B" w:rsidRDefault="0001078B" w:rsidP="0001078B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01078B" w:rsidRDefault="0001078B" w:rsidP="0001078B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78B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01078B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7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14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01078B" w:rsidP="0001078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 teori 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 xml:space="preserve">ruang anechoic dan </w:t>
            </w:r>
            <w:r w:rsidR="00825D3C"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presen</w:t>
            </w:r>
            <w:r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tasi serta diskusi studi kasus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8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01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Ruang Anechoic dan Studi Kasus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01078B" w:rsidRPr="00825D3C" w:rsidRDefault="0001078B" w:rsidP="00010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01078B" w:rsidRDefault="0001078B" w:rsidP="0001078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01078B" w:rsidRDefault="0001078B" w:rsidP="0001078B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78B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01078B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8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3687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01078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Mahasiswa memahami studi kasus (lanjutan): presentasi dan diskus</w:t>
            </w:r>
            <w:r w:rsidR="0001078B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i studi kasus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The accuracy in providing the information required  </w:t>
            </w:r>
          </w:p>
          <w:p w:rsidR="00825D3C" w:rsidRPr="00825D3C" w:rsidRDefault="00825D3C" w:rsidP="00825D3C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  </w:t>
            </w: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The student’s fluency in reading the memo (spelling, intonation, and speed)</w:t>
            </w:r>
          </w:p>
          <w:p w:rsidR="00825D3C" w:rsidRPr="00825D3C" w:rsidRDefault="00825D3C" w:rsidP="00825D3C">
            <w:pPr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    The correctness of the student’s answers </w:t>
            </w:r>
          </w:p>
          <w:p w:rsidR="00825D3C" w:rsidRPr="00825D3C" w:rsidRDefault="00825D3C" w:rsidP="00825D3C">
            <w:pPr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</w:p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Kriteria: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Marking Scheme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Bentuk: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Worksheet </w:t>
            </w: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(Non-Tes)</w:t>
            </w:r>
          </w:p>
          <w:p w:rsidR="00825D3C" w:rsidRPr="00825D3C" w:rsidRDefault="00825D3C" w:rsidP="00825D3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memo provided.</w:t>
            </w:r>
          </w:p>
          <w:p w:rsidR="00825D3C" w:rsidRPr="00825D3C" w:rsidRDefault="00825D3C" w:rsidP="00825D3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Responding to the opening questions given.</w:t>
            </w:r>
          </w:p>
          <w:p w:rsidR="00825D3C" w:rsidRPr="00825D3C" w:rsidRDefault="00825D3C" w:rsidP="00825D3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Completing the table (problem-solution) according to the information in the memo.</w:t>
            </w:r>
          </w:p>
          <w:p w:rsidR="00825D3C" w:rsidRPr="00825D3C" w:rsidRDefault="00825D3C" w:rsidP="00825D3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</w:rPr>
              <w:t>BM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Reviewing the previous lessons.</w:t>
            </w:r>
          </w:p>
          <w:p w:rsidR="00825D3C" w:rsidRPr="00825D3C" w:rsidRDefault="00825D3C" w:rsidP="00825D3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Reading the added learning materials.</w:t>
            </w:r>
          </w:p>
          <w:p w:rsidR="00825D3C" w:rsidRPr="00825D3C" w:rsidRDefault="00825D3C" w:rsidP="00825D3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Recording the presence.</w:t>
            </w:r>
          </w:p>
          <w:p w:rsidR="00825D3C" w:rsidRPr="00825D3C" w:rsidRDefault="00825D3C" w:rsidP="00825D3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 xml:space="preserve">Responding to opening questions in the ‘Discussion Forum’ section. </w:t>
            </w:r>
          </w:p>
          <w:p w:rsidR="00825D3C" w:rsidRPr="00825D3C" w:rsidRDefault="00825D3C" w:rsidP="00825D3C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</w:rPr>
              <w:t>Submitting the assigned tasks.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</w:rPr>
              <w:t>PT [(1x(2x60”)]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Task 3: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Moda (</w:t>
            </w:r>
            <w:r w:rsidRPr="00825D3C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18"/>
                <w:szCs w:val="18"/>
              </w:rPr>
              <w:t>Learning Management System</w:t>
            </w: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</w:rPr>
              <w:t>):</w:t>
            </w:r>
          </w:p>
          <w:p w:rsidR="00825D3C" w:rsidRPr="00825D3C" w:rsidRDefault="002244E5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33CC"/>
                <w:sz w:val="18"/>
                <w:szCs w:val="18"/>
                <w:u w:val="single"/>
              </w:rPr>
            </w:pPr>
            <w:hyperlink r:id="rId19" w:history="1">
              <w:r w:rsidR="00825D3C" w:rsidRPr="00825D3C">
                <w:rPr>
                  <w:rFonts w:ascii="Times New Roman" w:eastAsia="Times New Roman" w:hAnsi="Times New Roman" w:cs="Times New Roman"/>
                  <w:bCs/>
                  <w:noProof/>
                  <w:color w:val="0033CC"/>
                  <w:sz w:val="18"/>
                  <w:szCs w:val="18"/>
                  <w:u w:val="single"/>
                </w:rPr>
                <w:t>elearning@usu.ac.id</w:t>
              </w:r>
            </w:hyperlink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18"/>
                <w:lang w:eastAsia="id-ID"/>
              </w:rPr>
              <w:t>TM [(1x(2x50”)]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Kegiatan:</w:t>
            </w:r>
          </w:p>
          <w:p w:rsidR="00825D3C" w:rsidRPr="00825D3C" w:rsidRDefault="00825D3C" w:rsidP="00825D3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Making notes of the learning materials explained.</w:t>
            </w:r>
          </w:p>
          <w:p w:rsidR="00825D3C" w:rsidRPr="00825D3C" w:rsidRDefault="00825D3C" w:rsidP="00825D3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Responding to the questions or instructions given.</w:t>
            </w:r>
          </w:p>
          <w:p w:rsidR="00825D3C" w:rsidRPr="00825D3C" w:rsidRDefault="00825D3C" w:rsidP="00825D3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Completing all the provided exercises individually.</w:t>
            </w:r>
          </w:p>
          <w:p w:rsidR="00825D3C" w:rsidRPr="00825D3C" w:rsidRDefault="00825D3C" w:rsidP="00825D3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Discussing the exercises completed.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Media: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Power Point Presentation (PPT)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 xml:space="preserve">Zoom Meeting 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Audio Recording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825D3C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English Handout</w:t>
            </w: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id-ID"/>
              </w:rPr>
              <w:t>Metode Pembelajaran: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Online Lecture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Discussion</w:t>
            </w:r>
          </w:p>
          <w:p w:rsidR="00825D3C" w:rsidRPr="00825D3C" w:rsidRDefault="00825D3C" w:rsidP="00825D3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 xml:space="preserve">Self-Paced </w:t>
            </w:r>
          </w:p>
          <w:p w:rsidR="00825D3C" w:rsidRPr="00825D3C" w:rsidRDefault="00825D3C" w:rsidP="00825D3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Cs/>
                <w:i/>
                <w:iCs/>
                <w:noProof/>
                <w:color w:val="000000"/>
                <w:sz w:val="18"/>
                <w:szCs w:val="18"/>
                <w:lang w:eastAsia="id-ID"/>
              </w:rPr>
              <w:t>Learning</w:t>
            </w:r>
          </w:p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Pokok Bahasan:</w:t>
            </w:r>
          </w:p>
          <w:p w:rsidR="00825D3C" w:rsidRPr="00825D3C" w:rsidRDefault="00825D3C" w:rsidP="0001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Studi Kasus (Lanjutan): Presenta</w:t>
            </w:r>
            <w:r w:rsidR="0001078B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si dan Diskusi Studi Kasus</w:t>
            </w:r>
          </w:p>
          <w:p w:rsidR="00825D3C" w:rsidRPr="00825D3C" w:rsidRDefault="00825D3C" w:rsidP="00825D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8"/>
                <w:szCs w:val="18"/>
                <w:lang w:eastAsia="id-ID"/>
              </w:rPr>
            </w:pPr>
          </w:p>
          <w:p w:rsidR="0001078B" w:rsidRPr="00825D3C" w:rsidRDefault="0001078B" w:rsidP="00010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</w:pPr>
            <w:r w:rsidRPr="00825D3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d-ID"/>
              </w:rPr>
              <w:t>Referensi:</w:t>
            </w:r>
          </w:p>
          <w:p w:rsidR="0001078B" w:rsidRDefault="0001078B" w:rsidP="0001078B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01EC">
              <w:rPr>
                <w:rFonts w:ascii="Times New Roman" w:hAnsi="Times New Roman" w:cs="Times New Roman"/>
                <w:sz w:val="18"/>
                <w:szCs w:val="18"/>
              </w:rPr>
              <w:t>Henry W. Ott, “ Electromagnetic Compatibility Engineering” ,  A John Wiley and Sons Inc. Publication, NJ, 2009</w:t>
            </w:r>
          </w:p>
          <w:p w:rsidR="00825D3C" w:rsidRPr="0001078B" w:rsidRDefault="0001078B" w:rsidP="0001078B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78B">
              <w:rPr>
                <w:rFonts w:ascii="Times New Roman" w:hAnsi="Times New Roman" w:cs="Times New Roman"/>
                <w:sz w:val="18"/>
                <w:szCs w:val="18"/>
              </w:rPr>
              <w:t>Clayton R. Paul,  “Introduction to Electromagnetic Compability”,  A John Wiley and Sons Inc. Publication , Second Edition, NJ, 2006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01078B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8</w:t>
            </w:r>
            <w:r w:rsidR="00825D3C" w:rsidRPr="00825D3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825D3C" w:rsidRPr="00825D3C" w:rsidTr="00125624">
        <w:trPr>
          <w:trHeight w:val="440"/>
        </w:trPr>
        <w:tc>
          <w:tcPr>
            <w:tcW w:w="73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sz w:val="18"/>
                <w:szCs w:val="18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825D3C" w:rsidRPr="00825D3C" w:rsidRDefault="00825D3C" w:rsidP="00825D3C">
            <w:pPr>
              <w:spacing w:line="240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  <w:r w:rsidRPr="00825D3C"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12"/>
              <w:rPr>
                <w:rFonts w:ascii="Times New Roman" w:hAnsi="Times New Roman" w:cs="Times New Roman"/>
                <w:noProof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noProof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25D3C" w:rsidRPr="00825D3C" w:rsidRDefault="00825D3C" w:rsidP="00825D3C">
            <w:pPr>
              <w:spacing w:after="0" w:line="252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825D3C" w:rsidRPr="00825D3C" w:rsidTr="00125624">
        <w:tc>
          <w:tcPr>
            <w:tcW w:w="734" w:type="dxa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ind w:right="-108"/>
              <w:jc w:val="center"/>
              <w:rPr>
                <w:b/>
                <w:noProof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825D3C" w:rsidRPr="00825D3C" w:rsidRDefault="00825D3C" w:rsidP="00825D3C">
            <w:pPr>
              <w:spacing w:after="0" w:line="240" w:lineRule="auto"/>
              <w:rPr>
                <w:noProof/>
              </w:rPr>
            </w:pPr>
            <w:r w:rsidRPr="00825D3C">
              <w:rPr>
                <w:noProof/>
                <w:color w:val="0D0D0D"/>
              </w:rPr>
              <w:t xml:space="preserve">Total </w:t>
            </w:r>
          </w:p>
        </w:tc>
        <w:tc>
          <w:tcPr>
            <w:tcW w:w="868" w:type="dxa"/>
            <w:shd w:val="clear" w:color="auto" w:fill="auto"/>
          </w:tcPr>
          <w:p w:rsidR="00825D3C" w:rsidRPr="00825D3C" w:rsidRDefault="00825D3C" w:rsidP="00825D3C">
            <w:pPr>
              <w:spacing w:after="0" w:line="240" w:lineRule="auto"/>
              <w:jc w:val="center"/>
              <w:rPr>
                <w:b/>
                <w:noProof/>
              </w:rPr>
            </w:pPr>
            <w:r w:rsidRPr="00825D3C">
              <w:rPr>
                <w:b/>
                <w:noProof/>
              </w:rPr>
              <w:t>100</w:t>
            </w:r>
          </w:p>
        </w:tc>
      </w:tr>
    </w:tbl>
    <w:p w:rsidR="00825D3C" w:rsidRDefault="00825D3C"/>
    <w:sectPr w:rsidR="00825D3C" w:rsidSect="00825D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6620AE8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9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0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1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2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3F67047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5" w15:restartNumberingAfterBreak="0">
    <w:nsid w:val="17570CD6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8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0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1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2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1E247282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6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7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8" w15:restartNumberingAfterBreak="0">
    <w:nsid w:val="28917997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B3C55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1" w15:restartNumberingAfterBreak="0">
    <w:nsid w:val="2EC043C8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0">
    <w:nsid w:val="33B1568D"/>
    <w:multiLevelType w:val="hybridMultilevel"/>
    <w:tmpl w:val="A50400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352524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7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8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9" w15:restartNumberingAfterBreak="0">
    <w:nsid w:val="39F1228A"/>
    <w:multiLevelType w:val="hybridMultilevel"/>
    <w:tmpl w:val="C63A17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4" w15:restartNumberingAfterBreak="0">
    <w:nsid w:val="46F60835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4CA80F14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44E00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0">
    <w:nsid w:val="5DD92875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20028C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2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674D5024"/>
    <w:multiLevelType w:val="hybridMultilevel"/>
    <w:tmpl w:val="4FF4BD78"/>
    <w:lvl w:ilvl="0" w:tplc="6128B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6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7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8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9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60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1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2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63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4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5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6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7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68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69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70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71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72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40"/>
  </w:num>
  <w:num w:numId="3">
    <w:abstractNumId w:val="0"/>
  </w:num>
  <w:num w:numId="4">
    <w:abstractNumId w:val="24"/>
  </w:num>
  <w:num w:numId="5">
    <w:abstractNumId w:val="38"/>
  </w:num>
  <w:num w:numId="6">
    <w:abstractNumId w:val="10"/>
  </w:num>
  <w:num w:numId="7">
    <w:abstractNumId w:val="67"/>
  </w:num>
  <w:num w:numId="8">
    <w:abstractNumId w:val="21"/>
  </w:num>
  <w:num w:numId="9">
    <w:abstractNumId w:val="63"/>
  </w:num>
  <w:num w:numId="10">
    <w:abstractNumId w:val="70"/>
  </w:num>
  <w:num w:numId="11">
    <w:abstractNumId w:val="8"/>
  </w:num>
  <w:num w:numId="12">
    <w:abstractNumId w:val="53"/>
  </w:num>
  <w:num w:numId="13">
    <w:abstractNumId w:val="5"/>
  </w:num>
  <w:num w:numId="14">
    <w:abstractNumId w:val="12"/>
  </w:num>
  <w:num w:numId="15">
    <w:abstractNumId w:val="55"/>
  </w:num>
  <w:num w:numId="16">
    <w:abstractNumId w:val="69"/>
  </w:num>
  <w:num w:numId="17">
    <w:abstractNumId w:val="48"/>
  </w:num>
  <w:num w:numId="18">
    <w:abstractNumId w:val="14"/>
  </w:num>
  <w:num w:numId="19">
    <w:abstractNumId w:val="25"/>
  </w:num>
  <w:num w:numId="20">
    <w:abstractNumId w:val="32"/>
  </w:num>
  <w:num w:numId="21">
    <w:abstractNumId w:val="66"/>
  </w:num>
  <w:num w:numId="22">
    <w:abstractNumId w:val="61"/>
  </w:num>
  <w:num w:numId="23">
    <w:abstractNumId w:val="26"/>
  </w:num>
  <w:num w:numId="24">
    <w:abstractNumId w:val="9"/>
  </w:num>
  <w:num w:numId="25">
    <w:abstractNumId w:val="18"/>
  </w:num>
  <w:num w:numId="26">
    <w:abstractNumId w:val="4"/>
  </w:num>
  <w:num w:numId="27">
    <w:abstractNumId w:val="59"/>
  </w:num>
  <w:num w:numId="28">
    <w:abstractNumId w:val="68"/>
  </w:num>
  <w:num w:numId="29">
    <w:abstractNumId w:val="41"/>
  </w:num>
  <w:num w:numId="30">
    <w:abstractNumId w:val="3"/>
  </w:num>
  <w:num w:numId="31">
    <w:abstractNumId w:val="11"/>
  </w:num>
  <w:num w:numId="32">
    <w:abstractNumId w:val="71"/>
  </w:num>
  <w:num w:numId="33">
    <w:abstractNumId w:val="51"/>
  </w:num>
  <w:num w:numId="34">
    <w:abstractNumId w:val="45"/>
  </w:num>
  <w:num w:numId="35">
    <w:abstractNumId w:val="19"/>
  </w:num>
  <w:num w:numId="36">
    <w:abstractNumId w:val="27"/>
  </w:num>
  <w:num w:numId="37">
    <w:abstractNumId w:val="33"/>
  </w:num>
  <w:num w:numId="38">
    <w:abstractNumId w:val="20"/>
  </w:num>
  <w:num w:numId="39">
    <w:abstractNumId w:val="58"/>
  </w:num>
  <w:num w:numId="40">
    <w:abstractNumId w:val="42"/>
  </w:num>
  <w:num w:numId="41">
    <w:abstractNumId w:val="2"/>
  </w:num>
  <w:num w:numId="42">
    <w:abstractNumId w:val="72"/>
  </w:num>
  <w:num w:numId="43">
    <w:abstractNumId w:val="37"/>
  </w:num>
  <w:num w:numId="44">
    <w:abstractNumId w:val="17"/>
  </w:num>
  <w:num w:numId="45">
    <w:abstractNumId w:val="60"/>
  </w:num>
  <w:num w:numId="46">
    <w:abstractNumId w:val="30"/>
  </w:num>
  <w:num w:numId="47">
    <w:abstractNumId w:val="16"/>
  </w:num>
  <w:num w:numId="48">
    <w:abstractNumId w:val="65"/>
  </w:num>
  <w:num w:numId="49">
    <w:abstractNumId w:val="43"/>
  </w:num>
  <w:num w:numId="50">
    <w:abstractNumId w:val="62"/>
  </w:num>
  <w:num w:numId="51">
    <w:abstractNumId w:val="7"/>
  </w:num>
  <w:num w:numId="52">
    <w:abstractNumId w:val="52"/>
  </w:num>
  <w:num w:numId="53">
    <w:abstractNumId w:val="22"/>
  </w:num>
  <w:num w:numId="54">
    <w:abstractNumId w:val="36"/>
  </w:num>
  <w:num w:numId="55">
    <w:abstractNumId w:val="56"/>
  </w:num>
  <w:num w:numId="56">
    <w:abstractNumId w:val="57"/>
  </w:num>
  <w:num w:numId="57">
    <w:abstractNumId w:val="64"/>
  </w:num>
  <w:num w:numId="58">
    <w:abstractNumId w:val="34"/>
  </w:num>
  <w:num w:numId="59">
    <w:abstractNumId w:val="39"/>
  </w:num>
  <w:num w:numId="60">
    <w:abstractNumId w:val="46"/>
  </w:num>
  <w:num w:numId="61">
    <w:abstractNumId w:val="44"/>
  </w:num>
  <w:num w:numId="62">
    <w:abstractNumId w:val="50"/>
  </w:num>
  <w:num w:numId="63">
    <w:abstractNumId w:val="47"/>
  </w:num>
  <w:num w:numId="64">
    <w:abstractNumId w:val="23"/>
  </w:num>
  <w:num w:numId="65">
    <w:abstractNumId w:val="15"/>
  </w:num>
  <w:num w:numId="66">
    <w:abstractNumId w:val="6"/>
  </w:num>
  <w:num w:numId="67">
    <w:abstractNumId w:val="29"/>
  </w:num>
  <w:num w:numId="68">
    <w:abstractNumId w:val="49"/>
  </w:num>
  <w:num w:numId="69">
    <w:abstractNumId w:val="13"/>
  </w:num>
  <w:num w:numId="70">
    <w:abstractNumId w:val="54"/>
  </w:num>
  <w:num w:numId="71">
    <w:abstractNumId w:val="35"/>
  </w:num>
  <w:num w:numId="72">
    <w:abstractNumId w:val="28"/>
  </w:num>
  <w:num w:numId="73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3C"/>
    <w:rsid w:val="0001078B"/>
    <w:rsid w:val="00125624"/>
    <w:rsid w:val="002244E5"/>
    <w:rsid w:val="00282BF5"/>
    <w:rsid w:val="003E7253"/>
    <w:rsid w:val="005351EB"/>
    <w:rsid w:val="00825D3C"/>
    <w:rsid w:val="00BC72E5"/>
    <w:rsid w:val="00C501EC"/>
    <w:rsid w:val="00EC5CCA"/>
    <w:rsid w:val="00F8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8BB7"/>
  <w15:chartTrackingRefBased/>
  <w15:docId w15:val="{5F15BC4E-2092-40EA-BF07-EE22E97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D3C"/>
    <w:pPr>
      <w:keepNext/>
      <w:keepLines/>
      <w:spacing w:before="480" w:after="120"/>
      <w:outlineLvl w:val="0"/>
    </w:pPr>
    <w:rPr>
      <w:rFonts w:ascii="Calibri" w:eastAsia="Calibri" w:hAnsi="Calibri" w:cs="Calibri"/>
      <w:b/>
      <w:noProof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D3C"/>
    <w:pPr>
      <w:keepNext/>
      <w:keepLines/>
      <w:spacing w:before="360" w:after="80"/>
      <w:outlineLvl w:val="1"/>
    </w:pPr>
    <w:rPr>
      <w:rFonts w:ascii="Calibri" w:eastAsia="Calibri" w:hAnsi="Calibri" w:cs="Calibri"/>
      <w:b/>
      <w:noProof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D3C"/>
    <w:pPr>
      <w:keepNext/>
      <w:keepLines/>
      <w:spacing w:before="280" w:after="80"/>
      <w:outlineLvl w:val="2"/>
    </w:pPr>
    <w:rPr>
      <w:rFonts w:ascii="Calibri" w:eastAsia="Calibri" w:hAnsi="Calibri" w:cs="Calibri"/>
      <w:b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D3C"/>
    <w:pPr>
      <w:keepNext/>
      <w:keepLines/>
      <w:spacing w:before="240" w:after="40"/>
      <w:outlineLvl w:val="3"/>
    </w:pPr>
    <w:rPr>
      <w:rFonts w:ascii="Calibri" w:eastAsia="Calibri" w:hAnsi="Calibri" w:cs="Calibri"/>
      <w:b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D3C"/>
    <w:pPr>
      <w:keepNext/>
      <w:keepLines/>
      <w:spacing w:before="220" w:after="40"/>
      <w:outlineLvl w:val="4"/>
    </w:pPr>
    <w:rPr>
      <w:rFonts w:ascii="Calibri" w:eastAsia="Calibri" w:hAnsi="Calibri" w:cs="Calibri"/>
      <w:b/>
      <w:noProof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D3C"/>
    <w:pPr>
      <w:keepNext/>
      <w:keepLines/>
      <w:spacing w:before="200" w:after="40"/>
      <w:outlineLvl w:val="5"/>
    </w:pPr>
    <w:rPr>
      <w:rFonts w:ascii="Calibri" w:eastAsia="Calibri" w:hAnsi="Calibri" w:cs="Calibri"/>
      <w:b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25D3C"/>
    <w:rPr>
      <w:rFonts w:ascii="Calibri" w:eastAsia="Calibri" w:hAnsi="Calibri" w:cs="Calibri"/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825D3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825D3C"/>
    <w:rPr>
      <w:rFonts w:ascii="Calibri" w:eastAsia="Calibri" w:hAnsi="Calibri" w:cs="Calibri"/>
      <w:b/>
      <w:noProof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5D3C"/>
    <w:rPr>
      <w:rFonts w:ascii="Calibri" w:eastAsia="Calibri" w:hAnsi="Calibri" w:cs="Calibri"/>
      <w:b/>
      <w:noProof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5D3C"/>
    <w:rPr>
      <w:rFonts w:ascii="Calibri" w:eastAsia="Calibri" w:hAnsi="Calibri" w:cs="Calibri"/>
      <w:b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D3C"/>
    <w:rPr>
      <w:rFonts w:ascii="Calibri" w:eastAsia="Calibri" w:hAnsi="Calibri" w:cs="Calibri"/>
      <w:b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D3C"/>
    <w:rPr>
      <w:rFonts w:ascii="Calibri" w:eastAsia="Calibri" w:hAnsi="Calibri" w:cs="Calibri"/>
      <w:b/>
      <w:noProof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D3C"/>
    <w:rPr>
      <w:rFonts w:ascii="Calibri" w:eastAsia="Calibri" w:hAnsi="Calibri" w:cs="Calibri"/>
      <w:b/>
      <w:noProof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25D3C"/>
  </w:style>
  <w:style w:type="paragraph" w:styleId="Title">
    <w:name w:val="Title"/>
    <w:basedOn w:val="Normal"/>
    <w:next w:val="Normal"/>
    <w:link w:val="TitleChar"/>
    <w:uiPriority w:val="10"/>
    <w:qFormat/>
    <w:rsid w:val="00825D3C"/>
    <w:pPr>
      <w:keepNext/>
      <w:keepLines/>
      <w:spacing w:before="480" w:after="120"/>
    </w:pPr>
    <w:rPr>
      <w:rFonts w:ascii="Calibri" w:eastAsia="Calibri" w:hAnsi="Calibri" w:cs="Calibri"/>
      <w:b/>
      <w:noProof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5D3C"/>
    <w:rPr>
      <w:rFonts w:ascii="Calibri" w:eastAsia="Calibri" w:hAnsi="Calibri" w:cs="Calibri"/>
      <w:b/>
      <w:noProof/>
      <w:sz w:val="72"/>
      <w:szCs w:val="72"/>
    </w:rPr>
  </w:style>
  <w:style w:type="table" w:styleId="TableGrid">
    <w:name w:val="Table Grid"/>
    <w:basedOn w:val="TableNormal"/>
    <w:uiPriority w:val="39"/>
    <w:rsid w:val="00825D3C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D3C"/>
    <w:pPr>
      <w:ind w:left="720"/>
      <w:contextualSpacing/>
    </w:pPr>
    <w:rPr>
      <w:rFonts w:ascii="Calibri" w:eastAsia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3C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3C"/>
    <w:rPr>
      <w:rFonts w:ascii="Tahoma" w:eastAsia="Calibri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D3C"/>
    <w:pPr>
      <w:keepNext/>
      <w:keepLines/>
      <w:spacing w:before="360" w:after="80"/>
    </w:pPr>
    <w:rPr>
      <w:rFonts w:ascii="Georgia" w:eastAsia="Georgia" w:hAnsi="Georgia" w:cs="Georgia"/>
      <w:i/>
      <w:noProof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25D3C"/>
    <w:rPr>
      <w:rFonts w:ascii="Georgia" w:eastAsia="Georgia" w:hAnsi="Georgia" w:cs="Georgia"/>
      <w:i/>
      <w:noProof/>
      <w:color w:val="666666"/>
      <w:sz w:val="48"/>
      <w:szCs w:val="48"/>
    </w:rPr>
  </w:style>
  <w:style w:type="character" w:customStyle="1" w:styleId="Hyperlink1">
    <w:name w:val="Hyperlink1"/>
    <w:basedOn w:val="DefaultParagraphFont"/>
    <w:uiPriority w:val="99"/>
    <w:unhideWhenUsed/>
    <w:qFormat/>
    <w:rsid w:val="00825D3C"/>
    <w:rPr>
      <w:color w:val="0563C1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25D3C"/>
    <w:pPr>
      <w:spacing w:before="240" w:after="0"/>
      <w:outlineLvl w:val="9"/>
    </w:pPr>
    <w:rPr>
      <w:rFonts w:ascii="Calibri Light" w:eastAsia="Times New Roman" w:hAnsi="Calibri Light" w:cs="Times New Roman"/>
      <w:b w:val="0"/>
      <w:noProof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5D3C"/>
    <w:pPr>
      <w:spacing w:after="100"/>
    </w:pPr>
    <w:rPr>
      <w:rFonts w:ascii="Calibri" w:eastAsia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825D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825D3C"/>
    <w:rPr>
      <w:rFonts w:ascii="Calibri" w:eastAsia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825D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25D3C"/>
    <w:rPr>
      <w:rFonts w:ascii="Calibri" w:eastAsia="Calibri" w:hAnsi="Calibri" w:cs="Calibri"/>
      <w:noProof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25D3C"/>
    <w:pPr>
      <w:spacing w:after="100"/>
      <w:ind w:left="220"/>
    </w:pPr>
    <w:rPr>
      <w:rFonts w:eastAsia="Times New Roman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25D3C"/>
    <w:pPr>
      <w:spacing w:after="100"/>
      <w:ind w:left="440"/>
    </w:pPr>
    <w:rPr>
      <w:rFonts w:eastAsia="Times New Roman"/>
      <w:lang w:val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25D3C"/>
    <w:pPr>
      <w:spacing w:after="100"/>
      <w:ind w:left="660"/>
    </w:pPr>
    <w:rPr>
      <w:rFonts w:eastAsia="Times New Roman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25D3C"/>
    <w:pPr>
      <w:spacing w:after="100"/>
      <w:ind w:left="880"/>
    </w:pPr>
    <w:rPr>
      <w:rFonts w:eastAsia="Times New Roman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25D3C"/>
    <w:pPr>
      <w:spacing w:after="100"/>
      <w:ind w:left="1100"/>
    </w:pPr>
    <w:rPr>
      <w:rFonts w:eastAsia="Times New Roman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25D3C"/>
    <w:pPr>
      <w:spacing w:after="100"/>
      <w:ind w:left="1320"/>
    </w:pPr>
    <w:rPr>
      <w:rFonts w:eastAsia="Times New Roman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25D3C"/>
    <w:pPr>
      <w:spacing w:after="100"/>
      <w:ind w:left="1540"/>
    </w:pPr>
    <w:rPr>
      <w:rFonts w:eastAsia="Times New Roman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25D3C"/>
    <w:pPr>
      <w:spacing w:after="100"/>
      <w:ind w:left="1760"/>
    </w:pPr>
    <w:rPr>
      <w:rFonts w:eastAsia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5D3C"/>
    <w:rPr>
      <w:color w:val="605E5C"/>
      <w:shd w:val="clear" w:color="auto" w:fill="E1DFDD"/>
    </w:rPr>
  </w:style>
  <w:style w:type="paragraph" w:customStyle="1" w:styleId="NoSpacing1">
    <w:name w:val="No Spacing1"/>
    <w:next w:val="NoSpacing"/>
    <w:link w:val="NoSpacingChar"/>
    <w:uiPriority w:val="1"/>
    <w:qFormat/>
    <w:rsid w:val="00825D3C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825D3C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5D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5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2022-09-13T06:08:00Z</dcterms:created>
  <dcterms:modified xsi:type="dcterms:W3CDTF">2022-12-13T03:25:00Z</dcterms:modified>
</cp:coreProperties>
</file>